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pptx" ContentType="application/vnd.openxmlformats-officedocument.presentationml.presentation"/>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C4" w:rsidRPr="002C0708" w:rsidRDefault="00C85713" w:rsidP="00FA442F">
      <w:pPr>
        <w:spacing w:after="120" w:line="240" w:lineRule="auto"/>
        <w:rPr>
          <w:sz w:val="20"/>
          <w:szCs w:val="20"/>
          <w:u w:val="single"/>
          <w:lang w:val="de-CH"/>
        </w:rPr>
      </w:pPr>
      <w:r w:rsidRPr="002C0708">
        <w:rPr>
          <w:sz w:val="20"/>
          <w:szCs w:val="20"/>
          <w:u w:val="single"/>
          <w:lang w:val="de-CH"/>
        </w:rPr>
        <w:t>Pressemitteilung</w:t>
      </w:r>
    </w:p>
    <w:p w:rsidR="004948C4" w:rsidRPr="00C85713" w:rsidRDefault="00C85713" w:rsidP="00FA442F">
      <w:pPr>
        <w:spacing w:after="120" w:line="240" w:lineRule="auto"/>
        <w:rPr>
          <w:sz w:val="48"/>
          <w:szCs w:val="48"/>
          <w:lang w:val="de-CH"/>
        </w:rPr>
      </w:pPr>
      <w:r w:rsidRPr="00C85713">
        <w:rPr>
          <w:sz w:val="48"/>
          <w:szCs w:val="48"/>
          <w:lang w:val="de-CH"/>
        </w:rPr>
        <w:t xml:space="preserve">Eine Westschweizer Reflexionsgruppe präsentiert sechs Vorschläge </w:t>
      </w:r>
      <w:r>
        <w:rPr>
          <w:sz w:val="48"/>
          <w:szCs w:val="48"/>
          <w:lang w:val="de-CH"/>
        </w:rPr>
        <w:t>zur</w:t>
      </w:r>
      <w:r w:rsidRPr="00C85713">
        <w:rPr>
          <w:sz w:val="48"/>
          <w:szCs w:val="48"/>
          <w:lang w:val="de-CH"/>
        </w:rPr>
        <w:t xml:space="preserve"> Zukunft der zweiten Säule </w:t>
      </w:r>
    </w:p>
    <w:p w:rsidR="004948C4" w:rsidRPr="00C85713" w:rsidRDefault="004948C4" w:rsidP="00FA442F">
      <w:pPr>
        <w:spacing w:after="120" w:line="240" w:lineRule="auto"/>
        <w:rPr>
          <w:sz w:val="20"/>
          <w:szCs w:val="20"/>
          <w:lang w:val="de-CH"/>
        </w:rPr>
      </w:pPr>
    </w:p>
    <w:p w:rsidR="00C85713" w:rsidRDefault="00C85713" w:rsidP="00FA442F">
      <w:pPr>
        <w:spacing w:after="120" w:line="240" w:lineRule="auto"/>
        <w:jc w:val="both"/>
        <w:rPr>
          <w:b/>
          <w:sz w:val="20"/>
          <w:szCs w:val="20"/>
          <w:lang w:val="de-CH"/>
        </w:rPr>
      </w:pPr>
      <w:r>
        <w:rPr>
          <w:b/>
          <w:sz w:val="20"/>
          <w:szCs w:val="20"/>
          <w:lang w:val="de-CH"/>
        </w:rPr>
        <w:t>Montag 30. Juni 2014 – Während der Bundesrat das wichtige Reformprojekt „Altersvorsorge 2020“ in Angriff nimmt, sieht es eine politisch unabhängige Gruppe von Westschweizer Fachleuten als Bürgerpflicht, sich für die langfristige Sicherung der beruflichen Vorsorge einzusetzen, ein System, dessen Wert sowohl in der Schweiz als auch im Ausland einstimmig anerkannt wird</w:t>
      </w:r>
      <w:r w:rsidR="002C0708">
        <w:rPr>
          <w:b/>
          <w:sz w:val="20"/>
          <w:szCs w:val="20"/>
          <w:lang w:val="de-CH"/>
        </w:rPr>
        <w:t>. Die Gruppe unterbreitet deshalb se</w:t>
      </w:r>
      <w:r>
        <w:rPr>
          <w:b/>
          <w:sz w:val="20"/>
          <w:szCs w:val="20"/>
          <w:lang w:val="de-CH"/>
        </w:rPr>
        <w:t>chs bedeutende Vorschläge.</w:t>
      </w:r>
    </w:p>
    <w:p w:rsidR="00C85713" w:rsidRPr="00C85713" w:rsidRDefault="00C85713" w:rsidP="00FA442F">
      <w:pPr>
        <w:spacing w:after="120" w:line="240" w:lineRule="auto"/>
        <w:jc w:val="both"/>
        <w:rPr>
          <w:sz w:val="20"/>
          <w:szCs w:val="20"/>
          <w:lang w:val="de-CH"/>
        </w:rPr>
      </w:pPr>
      <w:r w:rsidRPr="00C85713">
        <w:rPr>
          <w:sz w:val="20"/>
          <w:szCs w:val="20"/>
          <w:lang w:val="de-CH"/>
        </w:rPr>
        <w:t xml:space="preserve">Eine Vorsorgereform, die sozial und politisch vertretbar ist, dem Arbeitsmarkt Rechnung trägt und Gewähr für eine transparente Führung bietet, ist mit Entscheidungen verbunden, bei denen sorgfältig zwischen einer verstärkten Finanzierung und einer Revision der Leistungen abgewogen werden muss. </w:t>
      </w:r>
      <w:r>
        <w:rPr>
          <w:sz w:val="20"/>
          <w:szCs w:val="20"/>
          <w:lang w:val="de-CH"/>
        </w:rPr>
        <w:t>Mit dieser Überzeugung formuliert die Reflexionsgruppe „Zukunft der Vorsorge“ folgende sechs Vorschläge:</w:t>
      </w:r>
    </w:p>
    <w:p w:rsidR="00600C71" w:rsidRDefault="00C85713" w:rsidP="00FA442F">
      <w:pPr>
        <w:spacing w:after="120" w:line="240" w:lineRule="auto"/>
        <w:jc w:val="center"/>
        <w:rPr>
          <w:b/>
          <w:sz w:val="20"/>
          <w:szCs w:val="20"/>
        </w:rPr>
      </w:pPr>
      <w:r w:rsidRPr="008F2CA2">
        <w:rPr>
          <w:rFonts w:ascii="Arial" w:hAnsi="Arial"/>
          <w:b/>
          <w:sz w:val="20"/>
          <w:szCs w:val="20"/>
        </w:rPr>
        <w:object w:dxaOrig="7216" w:dyaOrig="5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1.8pt" o:ole="">
            <v:imagedata r:id="rId7" o:title=""/>
          </v:shape>
          <o:OLEObject Type="Embed" ProgID="PowerPoint.Show.12" ShapeID="_x0000_i1025" DrawAspect="Content" ObjectID="_1465304159" r:id="rId8"/>
        </w:object>
      </w:r>
    </w:p>
    <w:p w:rsidR="00C85713" w:rsidRPr="002C0708" w:rsidRDefault="00C85713" w:rsidP="006F3543">
      <w:pPr>
        <w:spacing w:after="120" w:line="240" w:lineRule="auto"/>
        <w:jc w:val="both"/>
        <w:rPr>
          <w:sz w:val="18"/>
          <w:szCs w:val="20"/>
          <w:lang w:val="de-CH"/>
        </w:rPr>
      </w:pPr>
      <w:r w:rsidRPr="002C0708">
        <w:rPr>
          <w:b/>
          <w:sz w:val="20"/>
          <w:lang w:val="de-CH"/>
        </w:rPr>
        <w:t xml:space="preserve">Vorschlag 1: für eine soziale Vorsorge - </w:t>
      </w:r>
      <w:r w:rsidRPr="002C0708">
        <w:rPr>
          <w:sz w:val="20"/>
          <w:lang w:val="de-CH"/>
        </w:rPr>
        <w:t xml:space="preserve">Um das Vertrauen in das System zu stärken, muss eine Sozialversicherung entwickelt werden, die auf Solidarität beruht und die Individualisierung begrenzt. </w:t>
      </w:r>
    </w:p>
    <w:p w:rsidR="00C85713" w:rsidRPr="00C85713" w:rsidRDefault="00C85713" w:rsidP="006F3543">
      <w:pPr>
        <w:jc w:val="both"/>
        <w:rPr>
          <w:rFonts w:asciiTheme="minorHAnsi" w:hAnsiTheme="minorHAnsi" w:cstheme="minorHAnsi"/>
          <w:sz w:val="20"/>
          <w:szCs w:val="20"/>
          <w:lang w:val="de-CH"/>
        </w:rPr>
      </w:pPr>
      <w:r w:rsidRPr="00C85713">
        <w:rPr>
          <w:rFonts w:asciiTheme="minorHAnsi" w:hAnsiTheme="minorHAnsi" w:cstheme="minorHAnsi"/>
          <w:b/>
          <w:sz w:val="20"/>
          <w:szCs w:val="20"/>
          <w:lang w:val="de-CH"/>
        </w:rPr>
        <w:t>Vorschlag 2:</w:t>
      </w:r>
      <w:r w:rsidRPr="00C85713">
        <w:rPr>
          <w:rFonts w:asciiTheme="minorHAnsi" w:hAnsiTheme="minorHAnsi" w:cstheme="minorHAnsi"/>
          <w:sz w:val="20"/>
          <w:szCs w:val="20"/>
          <w:lang w:val="de-CH"/>
        </w:rPr>
        <w:t xml:space="preserve"> </w:t>
      </w:r>
      <w:r w:rsidRPr="00C85713">
        <w:rPr>
          <w:rFonts w:asciiTheme="minorHAnsi" w:hAnsiTheme="minorHAnsi" w:cstheme="minorHAnsi"/>
          <w:b/>
          <w:sz w:val="20"/>
          <w:szCs w:val="20"/>
          <w:lang w:val="de-CH"/>
        </w:rPr>
        <w:t>ein einziges Universum für die Pensionskassen</w:t>
      </w:r>
      <w:r w:rsidRPr="00C85713">
        <w:rPr>
          <w:rFonts w:asciiTheme="minorHAnsi" w:hAnsiTheme="minorHAnsi" w:cstheme="minorHAnsi"/>
          <w:sz w:val="20"/>
          <w:szCs w:val="20"/>
          <w:lang w:val="de-CH"/>
        </w:rPr>
        <w:t xml:space="preserve"> - Im Interesse der Versicherten wird in den nächsten zehn Jahren die Hälfte der Schweizer Pensionskassen von der Bildfläche verschwinden. Dasselbe gilt für das Vollversicherungsmodell der Lebensversicherer, das auf die Dauer zum Scheitern verurteilt ist.</w:t>
      </w:r>
    </w:p>
    <w:p w:rsidR="00C85713" w:rsidRPr="00C85713" w:rsidRDefault="00C85713" w:rsidP="006F3543">
      <w:pPr>
        <w:jc w:val="both"/>
        <w:rPr>
          <w:rFonts w:ascii="Arial" w:hAnsi="Arial" w:cs="Arial"/>
          <w:sz w:val="20"/>
          <w:szCs w:val="20"/>
          <w:lang w:val="de-CH"/>
        </w:rPr>
      </w:pPr>
    </w:p>
    <w:p w:rsidR="00C85713" w:rsidRPr="00C85713" w:rsidRDefault="00C85713" w:rsidP="006F3543">
      <w:pPr>
        <w:jc w:val="both"/>
        <w:rPr>
          <w:rFonts w:asciiTheme="minorHAnsi" w:hAnsiTheme="minorHAnsi" w:cstheme="minorHAnsi"/>
          <w:sz w:val="20"/>
          <w:szCs w:val="20"/>
          <w:lang w:val="de-CH"/>
        </w:rPr>
      </w:pPr>
      <w:r w:rsidRPr="00C85713">
        <w:rPr>
          <w:rFonts w:asciiTheme="minorHAnsi" w:hAnsiTheme="minorHAnsi" w:cstheme="minorHAnsi"/>
          <w:b/>
          <w:sz w:val="20"/>
          <w:szCs w:val="20"/>
          <w:lang w:val="de-CH"/>
        </w:rPr>
        <w:lastRenderedPageBreak/>
        <w:t>Vorschlag 3:</w:t>
      </w:r>
      <w:r w:rsidRPr="00C85713">
        <w:rPr>
          <w:rFonts w:asciiTheme="minorHAnsi" w:hAnsiTheme="minorHAnsi" w:cstheme="minorHAnsi"/>
          <w:sz w:val="20"/>
          <w:szCs w:val="20"/>
          <w:lang w:val="de-CH"/>
        </w:rPr>
        <w:t xml:space="preserve"> </w:t>
      </w:r>
      <w:r w:rsidRPr="00C85713">
        <w:rPr>
          <w:rFonts w:asciiTheme="minorHAnsi" w:hAnsiTheme="minorHAnsi" w:cstheme="minorHAnsi"/>
          <w:b/>
          <w:sz w:val="20"/>
          <w:szCs w:val="20"/>
          <w:lang w:val="de-CH"/>
        </w:rPr>
        <w:t>zumutbare Rechnungslegungsstandards</w:t>
      </w:r>
      <w:r w:rsidRPr="00C85713">
        <w:rPr>
          <w:rFonts w:asciiTheme="minorHAnsi" w:hAnsiTheme="minorHAnsi" w:cstheme="minorHAnsi"/>
          <w:sz w:val="20"/>
          <w:szCs w:val="20"/>
          <w:lang w:val="de-CH"/>
        </w:rPr>
        <w:t xml:space="preserve"> - Im Hinblick auf ein nachhaltiges System müssen für Unternehmen und Vorsorgeeinrichtungen realistische und zumutbare Rechnungslegungsstandards gelten.</w:t>
      </w:r>
    </w:p>
    <w:p w:rsidR="00C85713" w:rsidRPr="00C85713" w:rsidRDefault="00C85713" w:rsidP="006F3543">
      <w:pPr>
        <w:jc w:val="both"/>
        <w:rPr>
          <w:rFonts w:asciiTheme="minorHAnsi" w:hAnsiTheme="minorHAnsi" w:cstheme="minorHAnsi"/>
          <w:sz w:val="20"/>
          <w:szCs w:val="20"/>
          <w:lang w:val="de-CH"/>
        </w:rPr>
      </w:pPr>
      <w:r w:rsidRPr="00C85713">
        <w:rPr>
          <w:rFonts w:asciiTheme="minorHAnsi" w:hAnsiTheme="minorHAnsi" w:cstheme="minorHAnsi"/>
          <w:b/>
          <w:sz w:val="20"/>
          <w:szCs w:val="20"/>
          <w:lang w:val="de-CH"/>
        </w:rPr>
        <w:t>Vorschlag 4: eine Anpassung an die Entwicklung der Arbeitswelt</w:t>
      </w:r>
      <w:r w:rsidRPr="00C85713">
        <w:rPr>
          <w:rFonts w:asciiTheme="minorHAnsi" w:hAnsiTheme="minorHAnsi" w:cstheme="minorHAnsi"/>
          <w:sz w:val="20"/>
          <w:szCs w:val="20"/>
          <w:lang w:val="de-CH"/>
        </w:rPr>
        <w:t xml:space="preserve"> - Die Aufrechterhaltung des Niveaus der Altersrenten erfordert, dass höhere Beiträge geleistet werden. In einer langfristigen </w:t>
      </w:r>
      <w:bookmarkStart w:id="0" w:name="_GoBack"/>
      <w:bookmarkEnd w:id="0"/>
      <w:r w:rsidRPr="00C85713">
        <w:rPr>
          <w:rFonts w:asciiTheme="minorHAnsi" w:hAnsiTheme="minorHAnsi" w:cstheme="minorHAnsi"/>
          <w:sz w:val="20"/>
          <w:szCs w:val="20"/>
          <w:lang w:val="de-CH"/>
        </w:rPr>
        <w:t>Sicht schlägt die Reflexionsgruppe vor, den Koordinationsabzug aufzuheben und einen einheitlichen Beitragssatz einzuführen. Damit soll die Arbeitsmarktfähigkeit der älteren Arbeitnehmer gefördert und der Entwicklung der Teilzeitarbeit sowie Unterbrüchen in der Berufslaufbahn Rechnung getragen werden.</w:t>
      </w:r>
    </w:p>
    <w:p w:rsidR="00C85713" w:rsidRPr="00C85713" w:rsidRDefault="00C85713" w:rsidP="006F3543">
      <w:pPr>
        <w:jc w:val="both"/>
        <w:rPr>
          <w:rFonts w:asciiTheme="minorHAnsi" w:hAnsiTheme="minorHAnsi" w:cstheme="minorHAnsi"/>
          <w:sz w:val="20"/>
          <w:szCs w:val="20"/>
          <w:lang w:val="de-CH"/>
        </w:rPr>
      </w:pPr>
      <w:r w:rsidRPr="00C85713">
        <w:rPr>
          <w:rFonts w:asciiTheme="minorHAnsi" w:hAnsiTheme="minorHAnsi" w:cstheme="minorHAnsi"/>
          <w:b/>
          <w:sz w:val="20"/>
          <w:szCs w:val="20"/>
          <w:lang w:val="de-CH"/>
        </w:rPr>
        <w:t>Vorschlag 5:</w:t>
      </w:r>
      <w:r w:rsidRPr="00C85713">
        <w:rPr>
          <w:rFonts w:asciiTheme="minorHAnsi" w:hAnsiTheme="minorHAnsi" w:cstheme="minorHAnsi"/>
          <w:sz w:val="20"/>
          <w:szCs w:val="20"/>
          <w:lang w:val="de-CH"/>
        </w:rPr>
        <w:t xml:space="preserve"> </w:t>
      </w:r>
      <w:r w:rsidRPr="00C85713">
        <w:rPr>
          <w:rFonts w:asciiTheme="minorHAnsi" w:hAnsiTheme="minorHAnsi" w:cstheme="minorHAnsi"/>
          <w:b/>
          <w:sz w:val="20"/>
          <w:szCs w:val="20"/>
          <w:lang w:val="de-CH"/>
        </w:rPr>
        <w:t>Vertrauen in den dritten Beitragszahler</w:t>
      </w:r>
      <w:r w:rsidRPr="00C85713">
        <w:rPr>
          <w:rFonts w:asciiTheme="minorHAnsi" w:hAnsiTheme="minorHAnsi" w:cstheme="minorHAnsi"/>
          <w:sz w:val="20"/>
          <w:szCs w:val="20"/>
          <w:lang w:val="de-CH"/>
        </w:rPr>
        <w:t xml:space="preserve"> - Im Fall einer Unterdeckung können die Beiträge nicht zur Sanierung der zweiten Säule, sondern nur zu ihrer Stabilisierung beitragen. Wir setzen weiterhin Vertrauen in den dritten Beitragszahler.</w:t>
      </w:r>
    </w:p>
    <w:p w:rsidR="00C85713" w:rsidRPr="00C85713" w:rsidRDefault="00C85713" w:rsidP="006F3543">
      <w:pPr>
        <w:jc w:val="both"/>
        <w:rPr>
          <w:rFonts w:asciiTheme="minorHAnsi" w:hAnsiTheme="minorHAnsi" w:cstheme="minorHAnsi"/>
          <w:sz w:val="20"/>
          <w:szCs w:val="20"/>
          <w:lang w:val="de-CH"/>
        </w:rPr>
      </w:pPr>
      <w:r w:rsidRPr="00C85713">
        <w:rPr>
          <w:rFonts w:asciiTheme="minorHAnsi" w:hAnsiTheme="minorHAnsi" w:cstheme="minorHAnsi"/>
          <w:b/>
          <w:sz w:val="20"/>
          <w:szCs w:val="20"/>
          <w:lang w:val="de-CH"/>
        </w:rPr>
        <w:t>Vorschlag 6:</w:t>
      </w:r>
      <w:r w:rsidRPr="00C85713">
        <w:rPr>
          <w:rFonts w:asciiTheme="minorHAnsi" w:hAnsiTheme="minorHAnsi" w:cstheme="minorHAnsi"/>
          <w:sz w:val="20"/>
          <w:szCs w:val="20"/>
          <w:lang w:val="de-CH"/>
        </w:rPr>
        <w:t xml:space="preserve"> </w:t>
      </w:r>
      <w:r w:rsidRPr="00C85713">
        <w:rPr>
          <w:rFonts w:asciiTheme="minorHAnsi" w:hAnsiTheme="minorHAnsi" w:cstheme="minorHAnsi"/>
          <w:b/>
          <w:sz w:val="20"/>
          <w:szCs w:val="20"/>
          <w:lang w:val="de-CH"/>
        </w:rPr>
        <w:t>ein garantiertes Leistungsniveau</w:t>
      </w:r>
      <w:r w:rsidRPr="00C85713">
        <w:rPr>
          <w:rFonts w:asciiTheme="minorHAnsi" w:hAnsiTheme="minorHAnsi" w:cstheme="minorHAnsi"/>
          <w:sz w:val="20"/>
          <w:szCs w:val="20"/>
          <w:lang w:val="de-CH"/>
        </w:rPr>
        <w:t xml:space="preserve"> - Die Garantie des Umwandlungssatzes ermöglicht es, den Rentenbetrag für die obligatorische zweite Säule zu berechnen und den Verfassungsauftrag der Vorsorge zu erfüllen.</w:t>
      </w:r>
    </w:p>
    <w:p w:rsidR="002C0708" w:rsidRPr="002C0708" w:rsidRDefault="002C0708" w:rsidP="00FA442F">
      <w:pPr>
        <w:pBdr>
          <w:top w:val="single" w:sz="4" w:space="1" w:color="auto"/>
        </w:pBdr>
        <w:spacing w:after="120" w:line="240" w:lineRule="auto"/>
        <w:jc w:val="both"/>
        <w:rPr>
          <w:sz w:val="20"/>
          <w:szCs w:val="20"/>
          <w:lang w:val="de-CH"/>
        </w:rPr>
      </w:pPr>
      <w:r w:rsidRPr="002C0708">
        <w:rPr>
          <w:sz w:val="20"/>
          <w:szCs w:val="20"/>
          <w:lang w:val="de-CH"/>
        </w:rPr>
        <w:t xml:space="preserve">Die Reflexionsgruppe « Zukunft der Vorsorge » ist ein spontanes Projekt, motiviert durch ein politisch </w:t>
      </w:r>
      <w:r w:rsidR="008802F0">
        <w:rPr>
          <w:sz w:val="20"/>
          <w:szCs w:val="20"/>
          <w:lang w:val="de-CH"/>
        </w:rPr>
        <w:t>neutrales</w:t>
      </w:r>
      <w:r w:rsidRPr="002C0708">
        <w:rPr>
          <w:sz w:val="20"/>
          <w:szCs w:val="20"/>
          <w:lang w:val="de-CH"/>
        </w:rPr>
        <w:t xml:space="preserve"> staatsbürgerliches Ideal. Sie setzt sich zusammen aus Fachleuten aller Bereiche der zweiten Säule – Versicherungsmathematik, Assekuranz, Recht, Finanz, Gewerkschaft. Dabei handelt es sich um (in alphabetischer Reihenfolge):</w:t>
      </w:r>
    </w:p>
    <w:p w:rsidR="004948C4" w:rsidRPr="002C0708" w:rsidRDefault="004948C4" w:rsidP="00FA442F">
      <w:pPr>
        <w:pStyle w:val="Paragraphedeliste"/>
        <w:numPr>
          <w:ilvl w:val="0"/>
          <w:numId w:val="1"/>
        </w:numPr>
        <w:spacing w:after="120" w:line="240" w:lineRule="auto"/>
        <w:rPr>
          <w:sz w:val="20"/>
          <w:szCs w:val="20"/>
        </w:rPr>
      </w:pPr>
      <w:r w:rsidRPr="002C0708">
        <w:rPr>
          <w:sz w:val="20"/>
          <w:szCs w:val="20"/>
        </w:rPr>
        <w:t>Aldo Ferrari</w:t>
      </w:r>
    </w:p>
    <w:p w:rsidR="004948C4" w:rsidRPr="002C0708" w:rsidRDefault="004948C4" w:rsidP="00FA442F">
      <w:pPr>
        <w:pStyle w:val="Paragraphedeliste"/>
        <w:numPr>
          <w:ilvl w:val="0"/>
          <w:numId w:val="1"/>
        </w:numPr>
        <w:spacing w:after="120" w:line="240" w:lineRule="auto"/>
        <w:rPr>
          <w:sz w:val="20"/>
          <w:szCs w:val="20"/>
        </w:rPr>
      </w:pPr>
      <w:r w:rsidRPr="002C0708">
        <w:rPr>
          <w:sz w:val="20"/>
          <w:szCs w:val="20"/>
        </w:rPr>
        <w:t xml:space="preserve">Bernard </w:t>
      </w:r>
      <w:proofErr w:type="spellStart"/>
      <w:r w:rsidRPr="002C0708">
        <w:rPr>
          <w:sz w:val="20"/>
          <w:szCs w:val="20"/>
        </w:rPr>
        <w:t>Perritaz</w:t>
      </w:r>
      <w:proofErr w:type="spellEnd"/>
    </w:p>
    <w:p w:rsidR="004948C4" w:rsidRPr="002C0708" w:rsidRDefault="004948C4" w:rsidP="00FA442F">
      <w:pPr>
        <w:pStyle w:val="Paragraphedeliste"/>
        <w:numPr>
          <w:ilvl w:val="0"/>
          <w:numId w:val="1"/>
        </w:numPr>
        <w:spacing w:after="120" w:line="240" w:lineRule="auto"/>
        <w:rPr>
          <w:sz w:val="20"/>
          <w:szCs w:val="20"/>
        </w:rPr>
      </w:pPr>
      <w:r w:rsidRPr="002C0708">
        <w:rPr>
          <w:sz w:val="20"/>
          <w:szCs w:val="20"/>
        </w:rPr>
        <w:t>Stéphane Riesen</w:t>
      </w:r>
    </w:p>
    <w:p w:rsidR="004948C4" w:rsidRPr="002C0708" w:rsidRDefault="004948C4" w:rsidP="00FA442F">
      <w:pPr>
        <w:pStyle w:val="Paragraphedeliste"/>
        <w:numPr>
          <w:ilvl w:val="0"/>
          <w:numId w:val="1"/>
        </w:numPr>
        <w:spacing w:after="120" w:line="240" w:lineRule="auto"/>
        <w:rPr>
          <w:sz w:val="20"/>
          <w:szCs w:val="20"/>
        </w:rPr>
      </w:pPr>
      <w:r w:rsidRPr="002C0708">
        <w:rPr>
          <w:sz w:val="20"/>
          <w:szCs w:val="20"/>
        </w:rPr>
        <w:t>Jacques-André Schneider</w:t>
      </w:r>
    </w:p>
    <w:p w:rsidR="004948C4" w:rsidRPr="002C0708" w:rsidRDefault="004948C4" w:rsidP="00FA442F">
      <w:pPr>
        <w:pStyle w:val="Paragraphedeliste"/>
        <w:numPr>
          <w:ilvl w:val="0"/>
          <w:numId w:val="1"/>
        </w:numPr>
        <w:spacing w:after="120" w:line="240" w:lineRule="auto"/>
        <w:rPr>
          <w:sz w:val="20"/>
          <w:szCs w:val="20"/>
        </w:rPr>
      </w:pPr>
      <w:r w:rsidRPr="002C0708">
        <w:rPr>
          <w:sz w:val="20"/>
          <w:szCs w:val="20"/>
        </w:rPr>
        <w:t xml:space="preserve">Fabrice </w:t>
      </w:r>
      <w:proofErr w:type="spellStart"/>
      <w:r w:rsidRPr="002C0708">
        <w:rPr>
          <w:sz w:val="20"/>
          <w:szCs w:val="20"/>
        </w:rPr>
        <w:t>Welsch</w:t>
      </w:r>
      <w:proofErr w:type="spellEnd"/>
    </w:p>
    <w:p w:rsidR="004948C4" w:rsidRPr="002C0708" w:rsidRDefault="004948C4" w:rsidP="00FA442F">
      <w:pPr>
        <w:spacing w:after="120" w:line="240" w:lineRule="auto"/>
        <w:jc w:val="both"/>
        <w:rPr>
          <w:b/>
          <w:sz w:val="20"/>
          <w:szCs w:val="20"/>
        </w:rPr>
      </w:pPr>
    </w:p>
    <w:p w:rsidR="002C0708" w:rsidRPr="006F3543" w:rsidRDefault="002C0708" w:rsidP="00FA442F">
      <w:pPr>
        <w:pBdr>
          <w:top w:val="single" w:sz="4" w:space="1" w:color="auto"/>
        </w:pBdr>
        <w:spacing w:after="120" w:line="240" w:lineRule="auto"/>
        <w:jc w:val="both"/>
        <w:rPr>
          <w:sz w:val="20"/>
          <w:szCs w:val="20"/>
          <w:lang w:val="de-CH"/>
        </w:rPr>
      </w:pPr>
      <w:r w:rsidRPr="006F3543">
        <w:rPr>
          <w:sz w:val="20"/>
          <w:szCs w:val="20"/>
          <w:lang w:val="de-CH"/>
        </w:rPr>
        <w:t>Diese Medienmitteilung sowie eine ausführliche Präsentation der sechs Vorschläge</w:t>
      </w:r>
      <w:r w:rsidR="008802F0" w:rsidRPr="006F3543">
        <w:rPr>
          <w:sz w:val="20"/>
          <w:szCs w:val="20"/>
          <w:lang w:val="de-CH"/>
        </w:rPr>
        <w:t>,</w:t>
      </w:r>
      <w:r w:rsidRPr="006F3543">
        <w:rPr>
          <w:sz w:val="20"/>
          <w:szCs w:val="20"/>
          <w:lang w:val="de-CH"/>
        </w:rPr>
        <w:t xml:space="preserve"> steh</w:t>
      </w:r>
      <w:r w:rsidR="008802F0" w:rsidRPr="006F3543">
        <w:rPr>
          <w:sz w:val="20"/>
          <w:szCs w:val="20"/>
          <w:lang w:val="de-CH"/>
        </w:rPr>
        <w:t>en</w:t>
      </w:r>
      <w:r w:rsidRPr="006F3543">
        <w:rPr>
          <w:sz w:val="20"/>
          <w:szCs w:val="20"/>
          <w:lang w:val="de-CH"/>
        </w:rPr>
        <w:t xml:space="preserve"> Ihnen online zur Verfügung unter </w:t>
      </w:r>
      <w:hyperlink r:id="rId9" w:history="1">
        <w:r w:rsidRPr="006F3543">
          <w:rPr>
            <w:sz w:val="20"/>
            <w:szCs w:val="20"/>
            <w:lang w:val="de-CH"/>
          </w:rPr>
          <w:t>www.zukunftdervorsorge.ch</w:t>
        </w:r>
      </w:hyperlink>
      <w:r w:rsidRPr="006F3543">
        <w:rPr>
          <w:sz w:val="20"/>
          <w:szCs w:val="20"/>
          <w:lang w:val="de-CH"/>
        </w:rPr>
        <w:t xml:space="preserve">. </w:t>
      </w:r>
    </w:p>
    <w:p w:rsidR="00FA442F" w:rsidRPr="008802F0" w:rsidRDefault="00FA442F" w:rsidP="00FA442F">
      <w:pPr>
        <w:spacing w:after="120" w:line="240" w:lineRule="auto"/>
        <w:jc w:val="both"/>
        <w:rPr>
          <w:b/>
          <w:sz w:val="20"/>
          <w:szCs w:val="20"/>
          <w:lang w:val="de-CH"/>
        </w:rPr>
      </w:pPr>
    </w:p>
    <w:p w:rsidR="004948C4" w:rsidRPr="002C0708" w:rsidRDefault="002C0708" w:rsidP="00FA442F">
      <w:pPr>
        <w:pBdr>
          <w:top w:val="single" w:sz="4" w:space="1" w:color="auto"/>
        </w:pBdr>
        <w:spacing w:after="120" w:line="240" w:lineRule="auto"/>
        <w:jc w:val="both"/>
        <w:rPr>
          <w:b/>
          <w:sz w:val="20"/>
          <w:szCs w:val="20"/>
          <w:lang w:val="de-CH"/>
        </w:rPr>
      </w:pPr>
      <w:r w:rsidRPr="002C0708">
        <w:rPr>
          <w:b/>
          <w:sz w:val="20"/>
          <w:szCs w:val="20"/>
          <w:lang w:val="de-CH"/>
        </w:rPr>
        <w:t xml:space="preserve">Kontakt für deutschsprachige Journalisten: </w:t>
      </w:r>
    </w:p>
    <w:p w:rsidR="004948C4" w:rsidRPr="006F3543" w:rsidRDefault="002C0708" w:rsidP="00FA442F">
      <w:pPr>
        <w:spacing w:after="120" w:line="240" w:lineRule="auto"/>
        <w:jc w:val="both"/>
        <w:rPr>
          <w:sz w:val="20"/>
          <w:szCs w:val="20"/>
          <w:lang w:val="de-CH"/>
        </w:rPr>
      </w:pPr>
      <w:r w:rsidRPr="006F3543">
        <w:rPr>
          <w:sz w:val="20"/>
          <w:szCs w:val="20"/>
          <w:lang w:val="de-CH"/>
        </w:rPr>
        <w:t>Irène Obielum</w:t>
      </w:r>
      <w:r w:rsidR="004948C4" w:rsidRPr="006F3543">
        <w:rPr>
          <w:sz w:val="20"/>
          <w:szCs w:val="20"/>
          <w:lang w:val="de-CH"/>
        </w:rPr>
        <w:t xml:space="preserve">, Pittet Communication </w:t>
      </w:r>
      <w:r w:rsidRPr="006F3543">
        <w:rPr>
          <w:sz w:val="20"/>
          <w:szCs w:val="20"/>
          <w:lang w:val="de-CH"/>
        </w:rPr>
        <w:t>AG</w:t>
      </w:r>
      <w:r w:rsidR="004948C4" w:rsidRPr="006F3543">
        <w:rPr>
          <w:sz w:val="20"/>
          <w:szCs w:val="20"/>
          <w:lang w:val="de-CH"/>
        </w:rPr>
        <w:t xml:space="preserve">, </w:t>
      </w:r>
      <w:r w:rsidR="00AE2EFD" w:rsidRPr="006F3543">
        <w:rPr>
          <w:sz w:val="20"/>
          <w:szCs w:val="20"/>
          <w:lang w:val="de-CH"/>
        </w:rPr>
        <w:t xml:space="preserve">022 593 01 </w:t>
      </w:r>
      <w:r w:rsidRPr="006F3543">
        <w:rPr>
          <w:sz w:val="20"/>
          <w:szCs w:val="20"/>
          <w:lang w:val="de-CH"/>
        </w:rPr>
        <w:t>55</w:t>
      </w:r>
      <w:r w:rsidR="004948C4" w:rsidRPr="006F3543">
        <w:rPr>
          <w:sz w:val="20"/>
          <w:szCs w:val="20"/>
          <w:lang w:val="de-CH"/>
        </w:rPr>
        <w:t xml:space="preserve">, </w:t>
      </w:r>
      <w:r w:rsidRPr="006F3543">
        <w:rPr>
          <w:sz w:val="20"/>
          <w:szCs w:val="20"/>
          <w:lang w:val="de-CH"/>
        </w:rPr>
        <w:t>i.obielum</w:t>
      </w:r>
      <w:r w:rsidR="004948C4" w:rsidRPr="006F3543">
        <w:rPr>
          <w:sz w:val="20"/>
          <w:szCs w:val="20"/>
          <w:lang w:val="de-CH"/>
        </w:rPr>
        <w:t>@pittet.net</w:t>
      </w:r>
    </w:p>
    <w:p w:rsidR="004948C4" w:rsidRPr="006F3543" w:rsidRDefault="004948C4" w:rsidP="00FA442F">
      <w:pPr>
        <w:spacing w:after="120" w:line="240" w:lineRule="auto"/>
        <w:rPr>
          <w:lang w:val="de-CH"/>
        </w:rPr>
      </w:pPr>
    </w:p>
    <w:p w:rsidR="004948C4" w:rsidRPr="006F3543" w:rsidRDefault="004948C4" w:rsidP="00FA442F">
      <w:pPr>
        <w:spacing w:after="120"/>
        <w:jc w:val="both"/>
        <w:rPr>
          <w:sz w:val="20"/>
          <w:szCs w:val="20"/>
          <w:lang w:val="de-CH"/>
        </w:rPr>
      </w:pPr>
    </w:p>
    <w:sectPr w:rsidR="004948C4" w:rsidRPr="006F3543" w:rsidSect="00600C71">
      <w:headerReference w:type="default" r:id="rId10"/>
      <w:pgSz w:w="11906" w:h="16838"/>
      <w:pgMar w:top="2552"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395" w:rsidRDefault="00AA1395" w:rsidP="004752EE">
      <w:pPr>
        <w:spacing w:after="0" w:line="240" w:lineRule="auto"/>
      </w:pPr>
      <w:r>
        <w:separator/>
      </w:r>
    </w:p>
  </w:endnote>
  <w:endnote w:type="continuationSeparator" w:id="0">
    <w:p w:rsidR="00AA1395" w:rsidRDefault="00AA1395" w:rsidP="004752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395" w:rsidRDefault="00AA1395" w:rsidP="004752EE">
      <w:pPr>
        <w:spacing w:after="0" w:line="240" w:lineRule="auto"/>
      </w:pPr>
      <w:r>
        <w:separator/>
      </w:r>
    </w:p>
  </w:footnote>
  <w:footnote w:type="continuationSeparator" w:id="0">
    <w:p w:rsidR="00AA1395" w:rsidRDefault="00AA1395" w:rsidP="004752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708" w:rsidRPr="00CA6C4A" w:rsidRDefault="00CA6C4A" w:rsidP="00CA6C4A">
    <w:pPr>
      <w:pStyle w:val="En-tte"/>
    </w:pPr>
    <w:r>
      <w:rPr>
        <w:noProof/>
        <w:lang w:eastAsia="fr-CH"/>
      </w:rPr>
      <w:drawing>
        <wp:inline distT="0" distB="0" distL="0" distR="0">
          <wp:extent cx="1474470" cy="815489"/>
          <wp:effectExtent l="19050" t="0" r="0" b="0"/>
          <wp:docPr id="2" name="Image 1" descr="GRPP_logo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PP_logoD10.jpg"/>
                  <pic:cNvPicPr/>
                </pic:nvPicPr>
                <pic:blipFill>
                  <a:blip r:embed="rId1"/>
                  <a:stretch>
                    <a:fillRect/>
                  </a:stretch>
                </pic:blipFill>
                <pic:spPr>
                  <a:xfrm>
                    <a:off x="0" y="0"/>
                    <a:ext cx="1474470" cy="81548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066B48"/>
    <w:multiLevelType w:val="hybridMultilevel"/>
    <w:tmpl w:val="C9E8867A"/>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rsids>
    <w:rsidRoot w:val="004752EE"/>
    <w:rsid w:val="0016339C"/>
    <w:rsid w:val="00297E7E"/>
    <w:rsid w:val="002A7736"/>
    <w:rsid w:val="002C0708"/>
    <w:rsid w:val="002D1AC1"/>
    <w:rsid w:val="00337E9B"/>
    <w:rsid w:val="003615E9"/>
    <w:rsid w:val="00433CB4"/>
    <w:rsid w:val="00444318"/>
    <w:rsid w:val="00465BAD"/>
    <w:rsid w:val="004752EE"/>
    <w:rsid w:val="004948C4"/>
    <w:rsid w:val="00502366"/>
    <w:rsid w:val="00521F05"/>
    <w:rsid w:val="00551ACC"/>
    <w:rsid w:val="005D04E3"/>
    <w:rsid w:val="00600C71"/>
    <w:rsid w:val="00670F4C"/>
    <w:rsid w:val="006D7C63"/>
    <w:rsid w:val="006F3543"/>
    <w:rsid w:val="007216BD"/>
    <w:rsid w:val="00740672"/>
    <w:rsid w:val="007C115A"/>
    <w:rsid w:val="008121FD"/>
    <w:rsid w:val="00814A39"/>
    <w:rsid w:val="008802F0"/>
    <w:rsid w:val="008D6D0F"/>
    <w:rsid w:val="009119DF"/>
    <w:rsid w:val="009438B5"/>
    <w:rsid w:val="009C1687"/>
    <w:rsid w:val="00A20874"/>
    <w:rsid w:val="00A30EC0"/>
    <w:rsid w:val="00A56DA1"/>
    <w:rsid w:val="00A86C52"/>
    <w:rsid w:val="00AA1395"/>
    <w:rsid w:val="00AB7503"/>
    <w:rsid w:val="00AC1DB7"/>
    <w:rsid w:val="00AE2EFD"/>
    <w:rsid w:val="00AF76CB"/>
    <w:rsid w:val="00B125D2"/>
    <w:rsid w:val="00C325A4"/>
    <w:rsid w:val="00C85713"/>
    <w:rsid w:val="00CA6C4A"/>
    <w:rsid w:val="00E36664"/>
    <w:rsid w:val="00EA4E18"/>
    <w:rsid w:val="00FA442F"/>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8B5"/>
    <w:pPr>
      <w:spacing w:after="200" w:line="276" w:lineRule="auto"/>
    </w:pPr>
    <w:rPr>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752EE"/>
    <w:pPr>
      <w:tabs>
        <w:tab w:val="center" w:pos="4536"/>
        <w:tab w:val="right" w:pos="9072"/>
      </w:tabs>
      <w:spacing w:after="0" w:line="240" w:lineRule="auto"/>
    </w:pPr>
  </w:style>
  <w:style w:type="character" w:customStyle="1" w:styleId="En-tteCar">
    <w:name w:val="En-tête Car"/>
    <w:basedOn w:val="Policepardfaut"/>
    <w:link w:val="En-tte"/>
    <w:uiPriority w:val="99"/>
    <w:locked/>
    <w:rsid w:val="004752EE"/>
    <w:rPr>
      <w:rFonts w:cs="Times New Roman"/>
    </w:rPr>
  </w:style>
  <w:style w:type="paragraph" w:styleId="Pieddepage">
    <w:name w:val="footer"/>
    <w:basedOn w:val="Normal"/>
    <w:link w:val="PieddepageCar"/>
    <w:uiPriority w:val="99"/>
    <w:semiHidden/>
    <w:rsid w:val="004752E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locked/>
    <w:rsid w:val="004752EE"/>
    <w:rPr>
      <w:rFonts w:cs="Times New Roman"/>
    </w:rPr>
  </w:style>
  <w:style w:type="paragraph" w:styleId="Textedebulles">
    <w:name w:val="Balloon Text"/>
    <w:basedOn w:val="Normal"/>
    <w:link w:val="TextedebullesCar"/>
    <w:uiPriority w:val="99"/>
    <w:semiHidden/>
    <w:rsid w:val="004752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752EE"/>
    <w:rPr>
      <w:rFonts w:ascii="Tahoma" w:hAnsi="Tahoma" w:cs="Tahoma"/>
      <w:sz w:val="16"/>
      <w:szCs w:val="16"/>
    </w:rPr>
  </w:style>
  <w:style w:type="paragraph" w:styleId="Paragraphedeliste">
    <w:name w:val="List Paragraph"/>
    <w:basedOn w:val="Normal"/>
    <w:uiPriority w:val="99"/>
    <w:qFormat/>
    <w:rsid w:val="00297E7E"/>
    <w:pPr>
      <w:ind w:left="720"/>
      <w:contextualSpacing/>
    </w:pPr>
  </w:style>
  <w:style w:type="character" w:styleId="Lienhypertexte">
    <w:name w:val="Hyperlink"/>
    <w:basedOn w:val="Policepardfaut"/>
    <w:uiPriority w:val="99"/>
    <w:rsid w:val="00AC1DB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8328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Pr_sentation_Microsoft_Office_PowerPoint1.ppt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zukunftdervorsorg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420</Words>
  <Characters>2970</Characters>
  <Application>Microsoft Office Word</Application>
  <DocSecurity>0</DocSecurity>
  <Lines>24</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Think tank romand « Avenir de la prévoyance »</vt:lpstr>
      <vt:lpstr>Think tank romand « Avenir de la prévoyance »</vt:lpstr>
    </vt:vector>
  </TitlesOfParts>
  <Company>Hewlett-Packard Company</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Think tank romand « Avenir de la prévoyance »</dc:title>
  <dc:creator>MacBookC1</dc:creator>
  <cp:lastModifiedBy>l.pittet</cp:lastModifiedBy>
  <cp:revision>6</cp:revision>
  <cp:lastPrinted>2014-06-11T14:06:00Z</cp:lastPrinted>
  <dcterms:created xsi:type="dcterms:W3CDTF">2014-06-26T05:09:00Z</dcterms:created>
  <dcterms:modified xsi:type="dcterms:W3CDTF">2014-06-26T14:10:00Z</dcterms:modified>
</cp:coreProperties>
</file>